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F344" w14:textId="77777777" w:rsidR="002C5523" w:rsidRDefault="002C5523" w:rsidP="002C5523">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000000" w:themeColor="text1"/>
          <w:sz w:val="20"/>
          <w:szCs w:val="20"/>
        </w:rPr>
      </w:pPr>
    </w:p>
    <w:p w14:paraId="2F085152" w14:textId="77777777" w:rsidR="00D13C00" w:rsidRPr="00D13C00" w:rsidRDefault="00D13C00" w:rsidP="00D13C00">
      <w:pPr>
        <w:pStyle w:val="Normal"/>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line="360" w:lineRule="auto"/>
        <w:jc w:val="both"/>
        <w:rPr>
          <w:b/>
          <w:bCs/>
          <w:sz w:val="22"/>
          <w:szCs w:val="22"/>
        </w:rPr>
      </w:pPr>
      <w:r w:rsidRPr="00D13C00">
        <w:rPr>
          <w:b/>
          <w:bCs/>
          <w:sz w:val="22"/>
          <w:szCs w:val="22"/>
        </w:rPr>
        <w:t>Informazione sui criteri seguiti nella gestione sociale per il conseguimento dello scopo mutualistico ai sensi dell’art. 2545 del Codice Civile</w:t>
      </w:r>
    </w:p>
    <w:p w14:paraId="6D24738E" w14:textId="77777777" w:rsidR="00D13C00" w:rsidRPr="00D13C00" w:rsidRDefault="00D13C00" w:rsidP="00D13C00">
      <w:pPr>
        <w:widowControl w:val="0"/>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Arial" w:hAnsi="Arial" w:cs="Arial"/>
        </w:rPr>
      </w:pPr>
      <w:r w:rsidRPr="00D13C00">
        <w:rPr>
          <w:rFonts w:ascii="Arial" w:hAnsi="Arial" w:cs="Arial"/>
        </w:rPr>
        <w:t>La società è regolata dalle disposizioni del codice civile in materia di Società Cooperative.</w:t>
      </w:r>
    </w:p>
    <w:p w14:paraId="2A71F457" w14:textId="77777777" w:rsidR="00D13C00" w:rsidRPr="00D13C00" w:rsidRDefault="00D13C00" w:rsidP="00D13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13C00">
        <w:rPr>
          <w:rFonts w:ascii="Arial" w:hAnsi="Arial" w:cs="Arial"/>
        </w:rPr>
        <w:t>La società, in quanto cooperativa sociale, è altresì disciplinata dalla Legge 8 novembre 1991 n. 381</w:t>
      </w:r>
    </w:p>
    <w:p w14:paraId="70B77ADB" w14:textId="77777777" w:rsidR="00D13C00" w:rsidRPr="00D13C00" w:rsidRDefault="00D13C00" w:rsidP="00D13C00">
      <w:pPr>
        <w:widowControl w:val="0"/>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right="198"/>
        <w:jc w:val="both"/>
        <w:rPr>
          <w:rFonts w:ascii="Arial" w:hAnsi="Arial" w:cs="Arial"/>
        </w:rPr>
      </w:pPr>
      <w:r w:rsidRPr="00D13C00">
        <w:rPr>
          <w:rFonts w:ascii="Arial" w:hAnsi="Arial" w:cs="Arial"/>
        </w:rPr>
        <w:t xml:space="preserve">Lo scopo mutualistico della cooperativa viene precisato dall'art. 3 del vigente statuto sociale, che di seguito sinteticamente si riporta: </w:t>
      </w:r>
    </w:p>
    <w:p w14:paraId="49F107D0" w14:textId="77777777" w:rsidR="00D13C00" w:rsidRPr="00D13C00" w:rsidRDefault="00D13C00" w:rsidP="00D13C00">
      <w:pPr>
        <w:widowControl w:val="0"/>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right="198"/>
        <w:jc w:val="both"/>
        <w:rPr>
          <w:rFonts w:ascii="Arial" w:hAnsi="Arial" w:cs="Arial"/>
        </w:rPr>
      </w:pPr>
      <w:r w:rsidRPr="00D13C00">
        <w:rPr>
          <w:rFonts w:ascii="Arial" w:hAnsi="Arial" w:cs="Arial"/>
        </w:rPr>
        <w:t>"Lo scopo della cooperativa è il perseguimento dell'interesse generale della comunità alla promozione umana e all'integrazione sociale dei cittadini, attraverso la gestione di servizi sociali, socio-sanitari ed educativi nonché le attività individuate nei decreti legislativi di cui all'articolo 1, comma 2, lettera b) e c) della legge 6 giugno 2016, n. 106 in quanto integranti il disposto di cui all'art. 1, comma 1, lettera a) della Legge 381/1991, nei settori indicati al successivo art. 4.</w:t>
      </w:r>
    </w:p>
    <w:p w14:paraId="3EC591E7"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La Cooperativa si ispira ai principi che sono alla base del movimento cooperativo mondiale ed in rapporto ad essi agisce. Tali principi sono: la mutualità, la solidarietà, la democraticità, l'impegno, l'equilibrio delle responsabilità rispetto ai ruoli, lo spirito comunitario, il legame con il territorio, un equilibrato rapporto con lo Stato e le istituzioni pubbliche.</w:t>
      </w:r>
    </w:p>
    <w:p w14:paraId="3C7B0E81"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La Cooperativa, per poter curare nel miglior modo gli interessi dei soci e della collettività, intende cooperare attivamente e stabilmente con altri enti cooperativi, imprese sociali e organismi del Terzo Settore, su scala locale, nazionale e internazionale.</w:t>
      </w:r>
    </w:p>
    <w:p w14:paraId="57E83E8F"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La Cooperativa intende realizzare i propri scopi sociali, operando di preferenza nell'ambito territoriale del territorio nazionale, anche mediante il coinvolgimento delle risorse vive della comunità, dei volontari, dei fruitori dei servizi e di enti, pubblici o privati, che perseguano finalità di solidarietà sociale analoghe od affini.</w:t>
      </w:r>
    </w:p>
    <w:p w14:paraId="03B4C9AC"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La Cooperativa persegue le proprie finalità statutarie attraverso il coordinamento delle risorse fisiche, materiali e morali, dei soci e di terzi che, a qualsiasi titolo partecipino, nelle diverse forme, all'attività ed alla gestione della Cooperativa".</w:t>
      </w:r>
    </w:p>
    <w:p w14:paraId="49A9772B" w14:textId="77777777" w:rsidR="00D13C00" w:rsidRPr="00D13C00" w:rsidRDefault="00D13C00" w:rsidP="00D13C00">
      <w:pPr>
        <w:widowControl w:val="0"/>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right="198"/>
        <w:jc w:val="both"/>
        <w:rPr>
          <w:rFonts w:ascii="Arial" w:hAnsi="Arial" w:cs="Arial"/>
        </w:rPr>
      </w:pPr>
      <w:r w:rsidRPr="00D13C00">
        <w:rPr>
          <w:rFonts w:ascii="Arial" w:hAnsi="Arial" w:cs="Arial"/>
        </w:rPr>
        <w:t>L'oggetto sociale viene analiticamente individuato nell'art. 4 del vigente statuto, che di seguito si riporta:</w:t>
      </w:r>
    </w:p>
    <w:p w14:paraId="054D827E"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a) la gestione di servizi di assistenza domiciliare ad anziani, handicappati e minori, realizzati su propri progetti ed iniziativa o per conto di istituzioni titolari del servizio, quali Comuni, associazioni di Comuni, ASL ed Amministrazioni Provinciali;</w:t>
      </w:r>
    </w:p>
    <w:p w14:paraId="0993D566"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b) la progettazione, la organizzazione e la gestione, direttamente o in convenzione o collaborazione con Enti pubblici o privati, di servizi sociali, educativi, scolastici, culturali, avendo particolare riferimento alla gestione di asili nido, comunità per minori, case protette nonché di interventi ludici, di animazione o formativi anche ricorrendo alla presentazione di progetti speciali;</w:t>
      </w:r>
    </w:p>
    <w:p w14:paraId="076E5152"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 xml:space="preserve">c) la promozione e la gestione di corsi di formazione volti alla qualificazione umana, culturale e professionale nonché alla formazione cooperativistica, anche con contributo dell'Unione Europea, di Enti pubblici o privati in genere e/o singoli, in particolare rivolti a soggetti in condizione di disagio </w:t>
      </w:r>
      <w:r w:rsidRPr="00D13C00">
        <w:rPr>
          <w:sz w:val="22"/>
          <w:szCs w:val="22"/>
        </w:rPr>
        <w:lastRenderedPageBreak/>
        <w:t>fisico o psichico;</w:t>
      </w:r>
    </w:p>
    <w:p w14:paraId="2E327129"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d) la gestione di strutture di ospitalità sociale, case-albergo, centri diurni e residenziali di accoglienza e socializzazione, strutture abitative in genere, finalizzate ad offrire ospitalità ed accoglienza a fasce sociali protette, lavoratori, cittadini provenienti dai Paesi Esteri;</w:t>
      </w:r>
    </w:p>
    <w:p w14:paraId="602BF87A"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e) la gestione in proprio o per conto degli Enti preposti di servizi paramedici, infermieristici o sanitari, di psicologia e pedagogia a chiunque ne faccia richiesta, siano essi singoli, Enti, associazioni pubbliche o private;</w:t>
      </w:r>
    </w:p>
    <w:p w14:paraId="11E83E35"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f) la realizzazione di progetti innovativi, con particolare riguardo ai soggetti in condizione di disagio sociale ed ai portatori di handicap di qualsiasi tipo e natura;</w:t>
      </w:r>
    </w:p>
    <w:p w14:paraId="15A74196"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g) la gestione di servizi di trasporto e pronto soccorso infermieristico ad infortunati ed ammalati a mezzo di autoambulanza;</w:t>
      </w:r>
    </w:p>
    <w:p w14:paraId="4C8BD229"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h) la gestione di studi medici (anche in materia di medicina del lavoro e medicina sportiva) e centri di assistenza sociosanitaria/poliambulatori e centri diagnostici, laboratori analisi;</w:t>
      </w:r>
    </w:p>
    <w:p w14:paraId="2B0A515A"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i) svolgere studi, promuovere e realizzare progetti legati alle PARI OPPORTUNITA' tra uomo e donna, con la finalità di svolgere funzioni di promozione e di controllo dell'attuazione dei principi di uguaglianza, di opportunità e di non discriminazione tra donne e uomini;</w:t>
      </w:r>
    </w:p>
    <w:p w14:paraId="45DFB719"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l) svolgere attività di studio, promozione e realizzazione di progetti legati al "welfare aziendale" e politiche di conciliazione dei tempi famiglia/lavoro;</w:t>
      </w:r>
    </w:p>
    <w:p w14:paraId="328005E9"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m) svolgere attività di sviluppo e gestione di progetti educativi mediante la gestione di servizi nell'ambito del turismo sociale, culturale e sportivo, anche attraverso gestione diretta di attività di ricezione ludico sportiva, ristoro e ospitalità residenziale;</w:t>
      </w:r>
    </w:p>
    <w:p w14:paraId="746F8E96" w14:textId="77777777" w:rsidR="00D13C00" w:rsidRPr="00D13C00" w:rsidRDefault="00D13C00" w:rsidP="00D13C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2"/>
          <w:szCs w:val="22"/>
        </w:rPr>
      </w:pPr>
      <w:r w:rsidRPr="00D13C00">
        <w:rPr>
          <w:sz w:val="22"/>
          <w:szCs w:val="22"/>
        </w:rPr>
        <w:t>n) la realizzazione di progetti finalizzati all'orientamento ed inserimento lavorativo, con particolare riguardo ai soggetti in condizione di disagio sociale, extracomunitari e stranieri in genere ed ai soggetti portatori di handicap di qualsiasi tipo e natura.</w:t>
      </w:r>
    </w:p>
    <w:p w14:paraId="76BE139D" w14:textId="77777777" w:rsidR="00D13C00" w:rsidRPr="00D13C00" w:rsidRDefault="00D13C00" w:rsidP="00D13C00">
      <w:pPr>
        <w:widowControl w:val="0"/>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right="198"/>
        <w:jc w:val="both"/>
        <w:rPr>
          <w:rFonts w:ascii="Arial" w:hAnsi="Arial" w:cs="Arial"/>
        </w:rPr>
      </w:pPr>
      <w:r w:rsidRPr="00D13C00">
        <w:rPr>
          <w:rFonts w:ascii="Arial" w:hAnsi="Arial" w:cs="Arial"/>
        </w:rPr>
        <w:t>In ottemperanza a quanto previsto dall’art. 2545 del codice civile e dall’art. 2 della legge 59/92 gli amministratori espongono la seguente relazione volta ad indicare i criteri seguiti nella gestione sociale per il conseguimento degli scopi statutari:</w:t>
      </w:r>
    </w:p>
    <w:p w14:paraId="75036970" w14:textId="77777777" w:rsidR="00D13C00" w:rsidRPr="00D13C00" w:rsidRDefault="00D13C00" w:rsidP="00D13C00">
      <w:pPr>
        <w:widowControl w:val="0"/>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Arial" w:hAnsi="Arial" w:cs="Arial"/>
        </w:rPr>
      </w:pPr>
      <w:r w:rsidRPr="00D13C00">
        <w:rPr>
          <w:rFonts w:ascii="Arial" w:hAnsi="Arial" w:cs="Arial"/>
        </w:rPr>
        <w:t xml:space="preserve">"In ottemperanza a quanto previsto dall’art. 2545 del Codice civile e dall’art. 2 della Legge 59/92 gli amministratori espongono la seguente relazione volta ad indicare i criteri seguiti nella gestione sociale per il conseguimento degli scopi statutari. </w:t>
      </w:r>
    </w:p>
    <w:p w14:paraId="4617D4C1" w14:textId="77777777" w:rsidR="00D13C00" w:rsidRPr="00D13C00" w:rsidRDefault="00D13C00" w:rsidP="00D13C00">
      <w:pPr>
        <w:pStyle w:val="Rientr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sidRPr="00D13C00">
        <w:rPr>
          <w:b/>
          <w:bCs/>
        </w:rPr>
        <w:t>La Governance</w:t>
      </w:r>
      <w:r w:rsidRPr="00D13C00">
        <w:t xml:space="preserve"> di Progetto Itaca costituisce l’insieme dei principi, delle regole e delle procedure che compone il sistema di direzione, organizzazione e controllo della cooperativa e delle società ad essa collegate. Il sistema adottato da Progetto Itaca è conforme a quanto previsto dalla legge e dallo Statuto.</w:t>
      </w:r>
    </w:p>
    <w:p w14:paraId="1B49DABD" w14:textId="77777777" w:rsidR="00D13C00" w:rsidRPr="00D13C00" w:rsidRDefault="00D13C00" w:rsidP="00D13C00">
      <w:pPr>
        <w:pStyle w:val="Rientr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sidRPr="00D13C00">
        <w:t>L’Assemblea, regolarmente convocata e costituita, rappresenta l’universalità dei Soci. Le sue deliberazioni, prese in conformità alla legge e allo Statuto, vincolano tutti i Soci, ancorché non intervenuti o dissenzienti. L’Assemblea è Ordinaria e Straordinaria ai sensi di legge.</w:t>
      </w:r>
    </w:p>
    <w:p w14:paraId="7B594A57" w14:textId="77777777" w:rsidR="00D13C00" w:rsidRPr="00D13C00" w:rsidRDefault="00D13C00" w:rsidP="00D13C00">
      <w:pPr>
        <w:pStyle w:val="Rientr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sidRPr="00D13C00">
        <w:lastRenderedPageBreak/>
        <w:t>Il Consiglio di Amministrazione riveste un ruolo centrale nell’ambito dell’organizzazione aziendale. Ad esso fanno capo le funzioni previste dal Codice Civile, la responsabilità degli indirizzi strategici ed organizzativi, nonché la verifica dell’esistenza dei controlli necessari per monitorare l’andamento della società. Viene eletto dai Soci e dura in carica tre anni. Il Consiglio di Amministrazione è composto da 5 membri e restano in carica per tre esercizi, scadendo alla data dell’assemblea convocata per l’approvazione del bilancio relativo all’ultimo esercizio della loro carica.</w:t>
      </w:r>
    </w:p>
    <w:p w14:paraId="2B85E8F6" w14:textId="7D7553EC" w:rsidR="00D13C00" w:rsidRPr="00D13C00" w:rsidRDefault="00D13C00" w:rsidP="00D13C00">
      <w:pPr>
        <w:pStyle w:val="Rientr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sidRPr="00D13C00">
        <w:rPr>
          <w:b/>
          <w:bCs/>
        </w:rPr>
        <w:t>La struttura organizzativa</w:t>
      </w:r>
      <w:r w:rsidRPr="00D13C00">
        <w:t xml:space="preserve"> è stata </w:t>
      </w:r>
      <w:r w:rsidR="008F1AC4">
        <w:t>riconfermata</w:t>
      </w:r>
      <w:r w:rsidRPr="00D13C00">
        <w:t xml:space="preserve"> con l’integrazione delle funzioni di staff e di line di Progetto Itaca e della cooperativa Integra+RE le quali cooperano condividendo il funzionigramma e l’organigramma predisposto al raggiungimento dello scopo sociale di entrambe.</w:t>
      </w:r>
    </w:p>
    <w:p w14:paraId="4B46FADC" w14:textId="77777777" w:rsidR="00D13C00" w:rsidRPr="003209F6" w:rsidRDefault="00D13C00" w:rsidP="00D13C00">
      <w:pPr>
        <w:pStyle w:val="Rientr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sidRPr="00D13C00">
        <w:t xml:space="preserve">La struttura organizzativa prevede funzioni di linee operative che per Progetto Itaca sono i SERVIZI SOCIOSANITARI “San Teodoro” (CDI Crema), SOCIO EDUCATIVI “Nidi Archè” (nido Lodi) e SOCIO ASSISTENZIALI “Xenia” (servizi per l’immigrazione provincia di Lecco) funzioni queste direttamente preposte all’erogazione dei servizi. Le funzioni di staff - supporto sono le funzioni che gestiscono attività a supporto dell’erogazione dei servizi di riferimento e sono state definitivamente </w:t>
      </w:r>
      <w:r w:rsidRPr="003209F6">
        <w:t xml:space="preserve">adottate con l’integrazione delle funzioni. </w:t>
      </w:r>
    </w:p>
    <w:p w14:paraId="7D12AD6C" w14:textId="60F54034" w:rsidR="00D13C00" w:rsidRPr="003209F6" w:rsidRDefault="00D13C00" w:rsidP="00D13C00">
      <w:pPr>
        <w:pStyle w:val="Test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2"/>
          <w:szCs w:val="22"/>
        </w:rPr>
      </w:pPr>
      <w:r w:rsidRPr="003209F6">
        <w:rPr>
          <w:rFonts w:ascii="Arial" w:hAnsi="Arial" w:cs="Arial"/>
          <w:sz w:val="22"/>
          <w:szCs w:val="22"/>
        </w:rPr>
        <w:t>Il numero dei dipendenti al 31/12/20</w:t>
      </w:r>
      <w:r w:rsidR="00397D87" w:rsidRPr="003209F6">
        <w:rPr>
          <w:rFonts w:ascii="Arial" w:hAnsi="Arial" w:cs="Arial"/>
          <w:sz w:val="22"/>
          <w:szCs w:val="22"/>
        </w:rPr>
        <w:t>2</w:t>
      </w:r>
      <w:r w:rsidR="00DB2DF1" w:rsidRPr="003209F6">
        <w:rPr>
          <w:rFonts w:ascii="Arial" w:hAnsi="Arial" w:cs="Arial"/>
          <w:sz w:val="22"/>
          <w:szCs w:val="22"/>
        </w:rPr>
        <w:t>1</w:t>
      </w:r>
      <w:r w:rsidRPr="003209F6">
        <w:rPr>
          <w:rFonts w:ascii="Arial" w:hAnsi="Arial" w:cs="Arial"/>
          <w:sz w:val="22"/>
          <w:szCs w:val="22"/>
        </w:rPr>
        <w:t xml:space="preserve"> è di </w:t>
      </w:r>
      <w:r w:rsidR="003209F6" w:rsidRPr="003209F6">
        <w:rPr>
          <w:rFonts w:ascii="Arial" w:hAnsi="Arial" w:cs="Arial"/>
          <w:sz w:val="22"/>
          <w:szCs w:val="22"/>
        </w:rPr>
        <w:t>53</w:t>
      </w:r>
      <w:r w:rsidRPr="003209F6">
        <w:rPr>
          <w:rFonts w:ascii="Arial" w:hAnsi="Arial" w:cs="Arial"/>
          <w:sz w:val="22"/>
          <w:szCs w:val="22"/>
        </w:rPr>
        <w:t xml:space="preserve"> di cui </w:t>
      </w:r>
      <w:r w:rsidR="003209F6" w:rsidRPr="003209F6">
        <w:rPr>
          <w:rFonts w:ascii="Arial" w:hAnsi="Arial" w:cs="Arial"/>
          <w:sz w:val="22"/>
          <w:szCs w:val="22"/>
        </w:rPr>
        <w:t>15</w:t>
      </w:r>
      <w:r w:rsidRPr="003209F6">
        <w:rPr>
          <w:rFonts w:ascii="Arial" w:hAnsi="Arial" w:cs="Arial"/>
          <w:sz w:val="22"/>
          <w:szCs w:val="22"/>
        </w:rPr>
        <w:t xml:space="preserve"> soci lavoratori. Nel corso dell’anno si sono conclusi alcuni contratti a tempo determinato e ne sono stati avviati di nuovi.</w:t>
      </w:r>
    </w:p>
    <w:p w14:paraId="509410D4" w14:textId="77777777" w:rsidR="00D13C00" w:rsidRPr="00D13C00" w:rsidRDefault="00D13C00" w:rsidP="00D13C00">
      <w:pPr>
        <w:pStyle w:val="Testonormal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2"/>
          <w:szCs w:val="22"/>
        </w:rPr>
      </w:pPr>
      <w:r w:rsidRPr="003209F6">
        <w:rPr>
          <w:rFonts w:ascii="Arial" w:hAnsi="Arial" w:cs="Arial"/>
          <w:sz w:val="22"/>
          <w:szCs w:val="22"/>
        </w:rPr>
        <w:t>Ai soci lavoratori si aggiungono alcuni soci volontari e un socio sovventore, rappresentato da Associazione Progetto Itaca.</w:t>
      </w:r>
      <w:r w:rsidRPr="00D13C00">
        <w:rPr>
          <w:rFonts w:ascii="Arial" w:hAnsi="Arial" w:cs="Arial"/>
          <w:sz w:val="22"/>
          <w:szCs w:val="22"/>
        </w:rPr>
        <w:t xml:space="preserve"> </w:t>
      </w:r>
    </w:p>
    <w:p w14:paraId="5B5673F3" w14:textId="6FAD5E49" w:rsidR="00D13C00" w:rsidRPr="00D13C00"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13C00">
        <w:rPr>
          <w:rFonts w:ascii="Arial" w:hAnsi="Arial" w:cs="Arial"/>
        </w:rPr>
        <w:t>Di rilievo è il Piano Aziendale che ha caratterizzato il 20</w:t>
      </w:r>
      <w:r w:rsidR="008F1AC4">
        <w:rPr>
          <w:rFonts w:ascii="Arial" w:hAnsi="Arial" w:cs="Arial"/>
        </w:rPr>
        <w:t>2</w:t>
      </w:r>
      <w:r w:rsidR="00DB2DF1">
        <w:rPr>
          <w:rFonts w:ascii="Arial" w:hAnsi="Arial" w:cs="Arial"/>
        </w:rPr>
        <w:t>1</w:t>
      </w:r>
      <w:r w:rsidRPr="00D13C00">
        <w:rPr>
          <w:rFonts w:ascii="Arial" w:hAnsi="Arial" w:cs="Arial"/>
        </w:rPr>
        <w:t xml:space="preserve"> e che sostanzialmente riguarda: il piano commerciale, l’incremento della qualità dei servizi offerti, la diversificazione dei servizi, la collaborazione con aziende terze e la riorganizzazione aziendale. Quanto precede per rafforzare il proprio posizionamento sul mercato e per equilibrare l’azienda.</w:t>
      </w:r>
    </w:p>
    <w:p w14:paraId="1EAB1070" w14:textId="6E5ABFF9" w:rsidR="00D13C00"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13C00">
        <w:rPr>
          <w:rFonts w:ascii="Arial" w:hAnsi="Arial" w:cs="Arial"/>
          <w:b/>
          <w:bCs/>
        </w:rPr>
        <w:t>Piano Commerciale</w:t>
      </w:r>
      <w:r w:rsidRPr="00D13C00">
        <w:rPr>
          <w:rFonts w:ascii="Arial" w:hAnsi="Arial" w:cs="Arial"/>
        </w:rPr>
        <w:t>:</w:t>
      </w:r>
      <w:r w:rsidR="00D756B0">
        <w:rPr>
          <w:rFonts w:ascii="Arial" w:hAnsi="Arial" w:cs="Arial"/>
        </w:rPr>
        <w:t xml:space="preserve"> nonostante le difficoltà dovute al periodo di pandemia </w:t>
      </w:r>
      <w:r w:rsidR="00DB2DF1">
        <w:rPr>
          <w:rFonts w:ascii="Arial" w:hAnsi="Arial" w:cs="Arial"/>
        </w:rPr>
        <w:t>è stato ulteriormente implementato il servizio</w:t>
      </w:r>
      <w:r w:rsidR="00D756B0">
        <w:rPr>
          <w:rFonts w:ascii="Arial" w:hAnsi="Arial" w:cs="Arial"/>
        </w:rPr>
        <w:t xml:space="preserve"> de</w:t>
      </w:r>
      <w:r w:rsidR="00DB2DF1">
        <w:rPr>
          <w:rFonts w:ascii="Arial" w:hAnsi="Arial" w:cs="Arial"/>
        </w:rPr>
        <w:t>i nidi sviluppando quanto già iniziato nel 2020 il</w:t>
      </w:r>
      <w:r w:rsidR="00D756B0">
        <w:rPr>
          <w:rFonts w:ascii="Arial" w:hAnsi="Arial" w:cs="Arial"/>
        </w:rPr>
        <w:t xml:space="preserve"> sistema </w:t>
      </w:r>
      <w:r w:rsidR="00D756B0" w:rsidRPr="00D756B0">
        <w:rPr>
          <w:rFonts w:ascii="Arial" w:hAnsi="Arial" w:cs="Arial"/>
        </w:rPr>
        <w:t>pedagogico supportato da una nuova pedagogista.</w:t>
      </w:r>
    </w:p>
    <w:p w14:paraId="2A83A354" w14:textId="5D5F13C4" w:rsidR="00DB2DF1" w:rsidRDefault="00DB2DF1"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Durante il 202</w:t>
      </w:r>
      <w:r w:rsidR="00FA0C18">
        <w:rPr>
          <w:rFonts w:ascii="Arial" w:hAnsi="Arial" w:cs="Arial"/>
        </w:rPr>
        <w:t>1</w:t>
      </w:r>
      <w:r>
        <w:rPr>
          <w:rFonts w:ascii="Arial" w:hAnsi="Arial" w:cs="Arial"/>
        </w:rPr>
        <w:t xml:space="preserve"> è aumentato il numero degli appalti vinti riguardanti la gestione degli asili nido e si è proceduto all’ampliamento della capienza del nido di Lodi, portandolo a 40 bambini ospitati.</w:t>
      </w:r>
    </w:p>
    <w:p w14:paraId="0F7A5134" w14:textId="0E5137E6" w:rsidR="00DB2DF1" w:rsidRDefault="00DB2DF1"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 xml:space="preserve">Altresì durante il 2021, </w:t>
      </w:r>
      <w:r w:rsidR="00BB61E0">
        <w:rPr>
          <w:rFonts w:ascii="Arial" w:hAnsi="Arial" w:cs="Arial"/>
        </w:rPr>
        <w:t>abbiamo ottenuto l’aggiudicazione del servizio di accoglienza dei minori stranieri non accompagnati per il comune di Como.</w:t>
      </w:r>
    </w:p>
    <w:p w14:paraId="63041545" w14:textId="11ACAF62" w:rsidR="00DB2DF1" w:rsidRDefault="00BB61E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Servizio che partirà all’inizio del 2022.</w:t>
      </w:r>
    </w:p>
    <w:p w14:paraId="28D10B23" w14:textId="02020297" w:rsidR="00CB0B5A" w:rsidRDefault="00CB0B5A"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A fine 2021 Itaca si aggiudicata l’appalto con la Prefettura di Lecco per il servizio socioassistenziale CAS, con la gestione esclusiva di due centri d’accoglienza, con la conseguente eliminazione di quasi tutti gli appartamenti, tranne alcune unità che saranno destinate a garantire un eventuale aumento delle persone accolte</w:t>
      </w:r>
    </w:p>
    <w:p w14:paraId="0391D492" w14:textId="12FCB755" w:rsidR="00AA68AE" w:rsidRPr="00D756B0" w:rsidRDefault="00AA68AE"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 xml:space="preserve">Per quanto riguarda i servizi socio sanitari si è cercato di incrementare il numero degli utenti promuovendo il servizio presso i medici di famiglia e i servizi sociali del comune di Crema nonché </w:t>
      </w:r>
      <w:r>
        <w:rPr>
          <w:rFonts w:ascii="Arial" w:hAnsi="Arial" w:cs="Arial"/>
        </w:rPr>
        <w:lastRenderedPageBreak/>
        <w:t>alla parrocchia</w:t>
      </w:r>
      <w:r w:rsidR="00C614C4">
        <w:rPr>
          <w:rFonts w:ascii="Arial" w:hAnsi="Arial" w:cs="Arial"/>
        </w:rPr>
        <w:t xml:space="preserve"> della Santissima Trinità.</w:t>
      </w:r>
    </w:p>
    <w:p w14:paraId="23A26664" w14:textId="1A8D57B1" w:rsidR="00D13C00"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756B0">
        <w:rPr>
          <w:rFonts w:ascii="Arial" w:hAnsi="Arial" w:cs="Arial"/>
          <w:b/>
          <w:bCs/>
        </w:rPr>
        <w:t>Incremento della Qualità dei Servizi</w:t>
      </w:r>
      <w:r w:rsidRPr="00D756B0">
        <w:rPr>
          <w:rFonts w:ascii="Arial" w:hAnsi="Arial" w:cs="Arial"/>
        </w:rPr>
        <w:t xml:space="preserve">: </w:t>
      </w:r>
      <w:r w:rsidR="00C614C4">
        <w:rPr>
          <w:rFonts w:ascii="Arial" w:hAnsi="Arial" w:cs="Arial"/>
        </w:rPr>
        <w:t xml:space="preserve">anche nel 2021si è cercato di </w:t>
      </w:r>
      <w:r w:rsidRPr="00D13C00">
        <w:rPr>
          <w:rFonts w:ascii="Arial" w:hAnsi="Arial" w:cs="Arial"/>
        </w:rPr>
        <w:t>persegui</w:t>
      </w:r>
      <w:r w:rsidR="00C614C4">
        <w:rPr>
          <w:rFonts w:ascii="Arial" w:hAnsi="Arial" w:cs="Arial"/>
        </w:rPr>
        <w:t>re</w:t>
      </w:r>
      <w:r w:rsidRPr="00D13C00">
        <w:rPr>
          <w:rFonts w:ascii="Arial" w:hAnsi="Arial" w:cs="Arial"/>
        </w:rPr>
        <w:t xml:space="preserve"> i requisiti, inclusi quelli impliciti e latenti, degli Utenti finali dei servizi</w:t>
      </w:r>
      <w:r w:rsidR="00C614C4">
        <w:rPr>
          <w:rFonts w:ascii="Arial" w:hAnsi="Arial" w:cs="Arial"/>
        </w:rPr>
        <w:t xml:space="preserve">, </w:t>
      </w:r>
      <w:r w:rsidRPr="00D13C00">
        <w:rPr>
          <w:rFonts w:ascii="Arial" w:hAnsi="Arial" w:cs="Arial"/>
        </w:rPr>
        <w:t>sviluppa</w:t>
      </w:r>
      <w:r w:rsidR="00C614C4">
        <w:rPr>
          <w:rFonts w:ascii="Arial" w:hAnsi="Arial" w:cs="Arial"/>
        </w:rPr>
        <w:t>ndo</w:t>
      </w:r>
      <w:r w:rsidRPr="00D13C00">
        <w:rPr>
          <w:rFonts w:ascii="Arial" w:hAnsi="Arial" w:cs="Arial"/>
        </w:rPr>
        <w:t xml:space="preserve"> un costante e continuo miglioramento del livello della qualità del servizio offerto, nel rispetto delle norme cogenti e di quelle volontariamente adottate. </w:t>
      </w:r>
    </w:p>
    <w:p w14:paraId="5F947C6C" w14:textId="388378DA" w:rsidR="00BB61E0" w:rsidRDefault="00BB61E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Durante il 2021 si è proceduto a</w:t>
      </w:r>
      <w:r w:rsidR="00C614C4">
        <w:rPr>
          <w:rFonts w:ascii="Arial" w:hAnsi="Arial" w:cs="Arial"/>
        </w:rPr>
        <w:t xml:space="preserve"> conformare l</w:t>
      </w:r>
      <w:r>
        <w:rPr>
          <w:rFonts w:ascii="Arial" w:hAnsi="Arial" w:cs="Arial"/>
        </w:rPr>
        <w:t>a line Xenia</w:t>
      </w:r>
      <w:r w:rsidR="00C614C4">
        <w:rPr>
          <w:rFonts w:ascii="Arial" w:hAnsi="Arial" w:cs="Arial"/>
        </w:rPr>
        <w:t>, inerenti i servizi socio assistenziali,</w:t>
      </w:r>
      <w:r>
        <w:rPr>
          <w:rFonts w:ascii="Arial" w:hAnsi="Arial" w:cs="Arial"/>
        </w:rPr>
        <w:t xml:space="preserve"> alla </w:t>
      </w:r>
      <w:r w:rsidR="00FA0C18">
        <w:rPr>
          <w:rFonts w:ascii="Arial" w:hAnsi="Arial" w:cs="Arial"/>
        </w:rPr>
        <w:t>ISO</w:t>
      </w:r>
      <w:r>
        <w:rPr>
          <w:rFonts w:ascii="Arial" w:hAnsi="Arial" w:cs="Arial"/>
        </w:rPr>
        <w:t xml:space="preserve"> 9001</w:t>
      </w:r>
      <w:r w:rsidR="00C614C4">
        <w:rPr>
          <w:rFonts w:ascii="Arial" w:hAnsi="Arial" w:cs="Arial"/>
        </w:rPr>
        <w:t xml:space="preserve"> </w:t>
      </w:r>
      <w:r>
        <w:rPr>
          <w:rFonts w:ascii="Arial" w:hAnsi="Arial" w:cs="Arial"/>
        </w:rPr>
        <w:t xml:space="preserve">pe </w:t>
      </w:r>
      <w:r w:rsidR="00C614C4">
        <w:rPr>
          <w:rFonts w:ascii="Arial" w:hAnsi="Arial" w:cs="Arial"/>
        </w:rPr>
        <w:t>l’</w:t>
      </w:r>
      <w:r>
        <w:rPr>
          <w:rFonts w:ascii="Arial" w:hAnsi="Arial" w:cs="Arial"/>
        </w:rPr>
        <w:t>ottenimento nell’anno 2022</w:t>
      </w:r>
      <w:r w:rsidR="00C614C4">
        <w:rPr>
          <w:rFonts w:ascii="Arial" w:hAnsi="Arial" w:cs="Arial"/>
        </w:rPr>
        <w:t xml:space="preserve"> della certificazione</w:t>
      </w:r>
      <w:r>
        <w:rPr>
          <w:rFonts w:ascii="Arial" w:hAnsi="Arial" w:cs="Arial"/>
        </w:rPr>
        <w:t>.</w:t>
      </w:r>
    </w:p>
    <w:p w14:paraId="26C00270" w14:textId="02270458" w:rsidR="00C614C4" w:rsidRDefault="00C614C4"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 xml:space="preserve">Il sistema di qualità del Nido di Lodi è stato replicato alle nuove strutture prese in appalto nel secondo semestre </w:t>
      </w:r>
      <w:r w:rsidR="0044400B">
        <w:rPr>
          <w:rFonts w:ascii="Arial" w:hAnsi="Arial" w:cs="Arial"/>
        </w:rPr>
        <w:t>riscontrando soddisfazione da parte degli utenti del servizio offerto con il relativo incremento delle iscrizioni.</w:t>
      </w:r>
    </w:p>
    <w:p w14:paraId="2DDE4E01" w14:textId="33D2C42A" w:rsidR="0044400B" w:rsidRDefault="0044400B"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Il centro diurno ha superato l’audit del servizio socio sanitario e pertanto è stata confermata la certificazione ISO 9001</w:t>
      </w:r>
    </w:p>
    <w:p w14:paraId="283ECBAB" w14:textId="5D94B27F" w:rsidR="00D13C00" w:rsidRPr="00D13C00"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13C00">
        <w:rPr>
          <w:rFonts w:ascii="Arial" w:hAnsi="Arial" w:cs="Arial"/>
          <w:b/>
          <w:bCs/>
        </w:rPr>
        <w:t>Diversificazione dei Servizi</w:t>
      </w:r>
      <w:r w:rsidRPr="00D13C00">
        <w:rPr>
          <w:rFonts w:ascii="Arial" w:hAnsi="Arial" w:cs="Arial"/>
        </w:rPr>
        <w:t>: anche per il 20</w:t>
      </w:r>
      <w:r w:rsidR="00D756B0">
        <w:rPr>
          <w:rFonts w:ascii="Arial" w:hAnsi="Arial" w:cs="Arial"/>
        </w:rPr>
        <w:t>2</w:t>
      </w:r>
      <w:r w:rsidR="00BB61E0">
        <w:rPr>
          <w:rFonts w:ascii="Arial" w:hAnsi="Arial" w:cs="Arial"/>
        </w:rPr>
        <w:t>1</w:t>
      </w:r>
      <w:r w:rsidRPr="00D13C00">
        <w:rPr>
          <w:rFonts w:ascii="Arial" w:hAnsi="Arial" w:cs="Arial"/>
        </w:rPr>
        <w:t xml:space="preserve"> si è </w:t>
      </w:r>
      <w:r w:rsidR="00D756B0">
        <w:rPr>
          <w:rFonts w:ascii="Arial" w:hAnsi="Arial" w:cs="Arial"/>
        </w:rPr>
        <w:t xml:space="preserve">cercato di continuare la diversificazione dei servizi </w:t>
      </w:r>
      <w:r w:rsidR="00BB61E0">
        <w:rPr>
          <w:rFonts w:ascii="Arial" w:hAnsi="Arial" w:cs="Arial"/>
        </w:rPr>
        <w:t>gettando le basi per l’apertura di servizi socioassistenziali per minori</w:t>
      </w:r>
      <w:r w:rsidRPr="00D13C00">
        <w:rPr>
          <w:rFonts w:ascii="Arial" w:hAnsi="Arial" w:cs="Arial"/>
        </w:rPr>
        <w:t>.</w:t>
      </w:r>
    </w:p>
    <w:p w14:paraId="0C182196" w14:textId="4A8943AB" w:rsidR="00D13C00"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756B0">
        <w:rPr>
          <w:rFonts w:ascii="Arial" w:hAnsi="Arial" w:cs="Arial"/>
          <w:b/>
          <w:bCs/>
        </w:rPr>
        <w:t>Collaborazione</w:t>
      </w:r>
      <w:r w:rsidRPr="00D756B0">
        <w:rPr>
          <w:rFonts w:ascii="Arial" w:hAnsi="Arial" w:cs="Arial"/>
        </w:rPr>
        <w:t>: Progetto Itaca</w:t>
      </w:r>
      <w:r w:rsidR="001D2172">
        <w:rPr>
          <w:rFonts w:ascii="Arial" w:hAnsi="Arial" w:cs="Arial"/>
        </w:rPr>
        <w:t xml:space="preserve"> nel 202</w:t>
      </w:r>
      <w:r w:rsidR="00EA628E">
        <w:rPr>
          <w:rFonts w:ascii="Arial" w:hAnsi="Arial" w:cs="Arial"/>
        </w:rPr>
        <w:t>1</w:t>
      </w:r>
      <w:r w:rsidR="001D2172">
        <w:rPr>
          <w:rFonts w:ascii="Arial" w:hAnsi="Arial" w:cs="Arial"/>
        </w:rPr>
        <w:t xml:space="preserve"> ha </w:t>
      </w:r>
      <w:r w:rsidR="00EA628E">
        <w:rPr>
          <w:rFonts w:ascii="Arial" w:hAnsi="Arial" w:cs="Arial"/>
        </w:rPr>
        <w:t xml:space="preserve">rapporti </w:t>
      </w:r>
      <w:r w:rsidR="001D2172">
        <w:rPr>
          <w:rFonts w:ascii="Arial" w:hAnsi="Arial" w:cs="Arial"/>
        </w:rPr>
        <w:t>di collaborazione</w:t>
      </w:r>
      <w:r w:rsidRPr="00D756B0">
        <w:rPr>
          <w:rFonts w:ascii="Arial" w:hAnsi="Arial" w:cs="Arial"/>
        </w:rPr>
        <w:t xml:space="preserve"> </w:t>
      </w:r>
      <w:r w:rsidR="00EA628E">
        <w:rPr>
          <w:rFonts w:ascii="Arial" w:hAnsi="Arial" w:cs="Arial"/>
        </w:rPr>
        <w:t xml:space="preserve">esclusivamente </w:t>
      </w:r>
      <w:r w:rsidR="00D756B0" w:rsidRPr="00D756B0">
        <w:rPr>
          <w:rFonts w:ascii="Arial" w:hAnsi="Arial" w:cs="Arial"/>
        </w:rPr>
        <w:t xml:space="preserve">con </w:t>
      </w:r>
      <w:proofErr w:type="spellStart"/>
      <w:r w:rsidR="00D756B0" w:rsidRPr="00D756B0">
        <w:rPr>
          <w:rFonts w:ascii="Arial" w:hAnsi="Arial" w:cs="Arial"/>
        </w:rPr>
        <w:t>Integra</w:t>
      </w:r>
      <w:r w:rsidR="001D2172">
        <w:rPr>
          <w:rFonts w:ascii="Arial" w:hAnsi="Arial" w:cs="Arial"/>
        </w:rPr>
        <w:t>+R</w:t>
      </w:r>
      <w:r w:rsidR="00D756B0" w:rsidRPr="00D756B0">
        <w:rPr>
          <w:rFonts w:ascii="Arial" w:hAnsi="Arial" w:cs="Arial"/>
        </w:rPr>
        <w:t>e</w:t>
      </w:r>
      <w:proofErr w:type="spellEnd"/>
      <w:r w:rsidR="00D756B0">
        <w:rPr>
          <w:rFonts w:ascii="Arial" w:hAnsi="Arial" w:cs="Arial"/>
        </w:rPr>
        <w:t xml:space="preserve"> </w:t>
      </w:r>
      <w:proofErr w:type="spellStart"/>
      <w:r w:rsidR="00D756B0">
        <w:rPr>
          <w:rFonts w:ascii="Arial" w:hAnsi="Arial" w:cs="Arial"/>
        </w:rPr>
        <w:t>s.c.s</w:t>
      </w:r>
      <w:proofErr w:type="spellEnd"/>
      <w:r w:rsidRPr="00D756B0">
        <w:rPr>
          <w:rFonts w:ascii="Arial" w:hAnsi="Arial" w:cs="Arial"/>
        </w:rPr>
        <w:t>.</w:t>
      </w:r>
    </w:p>
    <w:p w14:paraId="14CD2F64" w14:textId="4AD53C9D" w:rsidR="00D13C00" w:rsidRPr="00F36235"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756B0">
        <w:rPr>
          <w:rFonts w:ascii="Arial" w:hAnsi="Arial" w:cs="Arial"/>
          <w:b/>
          <w:bCs/>
        </w:rPr>
        <w:t>Riorganizzazione</w:t>
      </w:r>
      <w:r w:rsidRPr="00D756B0">
        <w:rPr>
          <w:rFonts w:ascii="Arial" w:hAnsi="Arial" w:cs="Arial"/>
        </w:rPr>
        <w:t xml:space="preserve">: si è </w:t>
      </w:r>
      <w:r w:rsidR="00D756B0" w:rsidRPr="00D756B0">
        <w:rPr>
          <w:rFonts w:ascii="Arial" w:hAnsi="Arial" w:cs="Arial"/>
        </w:rPr>
        <w:t>continuata</w:t>
      </w:r>
      <w:r w:rsidRPr="00D756B0">
        <w:rPr>
          <w:rFonts w:ascii="Arial" w:hAnsi="Arial" w:cs="Arial"/>
        </w:rPr>
        <w:t xml:space="preserve"> l’ottimizzazione della gestione aziendale, al fine di ridurre gli sprechi interni e valorizzare il lavoro delle persone. Progetto Itaca si è adoperata per il coinvolgimento dei lavoratori e per la loro condivisione degli obiettivi e delle strategie di sviluppo della Cooperativa.</w:t>
      </w:r>
    </w:p>
    <w:p w14:paraId="26FB0E2C" w14:textId="6299D4F2" w:rsidR="00E56194" w:rsidRPr="00FA0C18"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FA0C18">
        <w:rPr>
          <w:rFonts w:ascii="Arial" w:hAnsi="Arial" w:cs="Arial"/>
          <w:b/>
          <w:bCs/>
        </w:rPr>
        <w:t xml:space="preserve">Perdita di Esercizio </w:t>
      </w:r>
      <w:bookmarkStart w:id="0" w:name="_Hlk47536633"/>
      <w:r w:rsidRPr="00FA0C18">
        <w:rPr>
          <w:rFonts w:ascii="Arial" w:hAnsi="Arial" w:cs="Arial"/>
        </w:rPr>
        <w:t>nell’anno 20</w:t>
      </w:r>
      <w:r w:rsidR="00E56194" w:rsidRPr="00FA0C18">
        <w:rPr>
          <w:rFonts w:ascii="Arial" w:hAnsi="Arial" w:cs="Arial"/>
        </w:rPr>
        <w:t>2</w:t>
      </w:r>
      <w:r w:rsidR="00EA628E" w:rsidRPr="00FA0C18">
        <w:rPr>
          <w:rFonts w:ascii="Arial" w:hAnsi="Arial" w:cs="Arial"/>
        </w:rPr>
        <w:t>1</w:t>
      </w:r>
      <w:r w:rsidRPr="00FA0C18">
        <w:rPr>
          <w:rFonts w:ascii="Arial" w:hAnsi="Arial" w:cs="Arial"/>
        </w:rPr>
        <w:t xml:space="preserve"> Progetto Itaca ha subito una</w:t>
      </w:r>
      <w:r w:rsidR="00EA628E" w:rsidRPr="00FA0C18">
        <w:rPr>
          <w:rFonts w:ascii="Arial" w:hAnsi="Arial" w:cs="Arial"/>
        </w:rPr>
        <w:t xml:space="preserve"> ridimensionata</w:t>
      </w:r>
      <w:r w:rsidRPr="00FA0C18">
        <w:rPr>
          <w:rFonts w:ascii="Arial" w:hAnsi="Arial" w:cs="Arial"/>
        </w:rPr>
        <w:t xml:space="preserve"> perdita di esercizio</w:t>
      </w:r>
      <w:r w:rsidR="00E56194" w:rsidRPr="00FA0C18">
        <w:rPr>
          <w:rFonts w:ascii="Arial" w:hAnsi="Arial" w:cs="Arial"/>
        </w:rPr>
        <w:t>.</w:t>
      </w:r>
    </w:p>
    <w:p w14:paraId="30550DAF" w14:textId="372999F8" w:rsidR="001B55DB" w:rsidRDefault="00F36235"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2A7B94">
        <w:rPr>
          <w:rFonts w:ascii="Arial" w:hAnsi="Arial" w:cs="Arial"/>
        </w:rPr>
        <w:t>La</w:t>
      </w:r>
      <w:r w:rsidR="00E56194" w:rsidRPr="002A7B94">
        <w:rPr>
          <w:rFonts w:ascii="Arial" w:hAnsi="Arial" w:cs="Arial"/>
        </w:rPr>
        <w:t xml:space="preserve"> crisi cagionata dalla pandemia non ha permesso di </w:t>
      </w:r>
      <w:r w:rsidR="001B55DB">
        <w:rPr>
          <w:rFonts w:ascii="Arial" w:hAnsi="Arial" w:cs="Arial"/>
        </w:rPr>
        <w:t>incrementare il numero di utenti</w:t>
      </w:r>
      <w:r w:rsidR="00940AAB">
        <w:rPr>
          <w:rFonts w:ascii="Arial" w:hAnsi="Arial" w:cs="Arial"/>
        </w:rPr>
        <w:t xml:space="preserve"> </w:t>
      </w:r>
      <w:r w:rsidR="001B55DB">
        <w:rPr>
          <w:rFonts w:ascii="Arial" w:hAnsi="Arial" w:cs="Arial"/>
        </w:rPr>
        <w:t>del centro diurno</w:t>
      </w:r>
    </w:p>
    <w:p w14:paraId="6296411C" w14:textId="2B5AF982" w:rsidR="002A7B94" w:rsidRDefault="00940AAB"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 xml:space="preserve">I </w:t>
      </w:r>
      <w:r w:rsidR="00E56194" w:rsidRPr="002A7B94">
        <w:rPr>
          <w:rFonts w:ascii="Arial" w:hAnsi="Arial" w:cs="Arial"/>
        </w:rPr>
        <w:t>rami di azienda inerenti ai settori sociosanitari</w:t>
      </w:r>
      <w:r>
        <w:rPr>
          <w:rFonts w:ascii="Arial" w:hAnsi="Arial" w:cs="Arial"/>
        </w:rPr>
        <w:t>,</w:t>
      </w:r>
      <w:r w:rsidR="00E56194" w:rsidRPr="002A7B94">
        <w:rPr>
          <w:rFonts w:ascii="Arial" w:hAnsi="Arial" w:cs="Arial"/>
        </w:rPr>
        <w:t xml:space="preserve"> socioeducativi</w:t>
      </w:r>
      <w:r>
        <w:rPr>
          <w:rFonts w:ascii="Arial" w:hAnsi="Arial" w:cs="Arial"/>
        </w:rPr>
        <w:t xml:space="preserve"> e</w:t>
      </w:r>
      <w:r w:rsidR="002A7B94">
        <w:rPr>
          <w:rFonts w:ascii="Arial" w:hAnsi="Arial" w:cs="Arial"/>
        </w:rPr>
        <w:t xml:space="preserve"> servizi socio</w:t>
      </w:r>
      <w:r>
        <w:rPr>
          <w:rFonts w:ascii="Arial" w:hAnsi="Arial" w:cs="Arial"/>
        </w:rPr>
        <w:t xml:space="preserve">assistenziali, sempre a causa </w:t>
      </w:r>
      <w:proofErr w:type="spellStart"/>
      <w:r>
        <w:rPr>
          <w:rFonts w:ascii="Arial" w:hAnsi="Arial" w:cs="Arial"/>
        </w:rPr>
        <w:t>dell’anzi</w:t>
      </w:r>
      <w:proofErr w:type="spellEnd"/>
      <w:r>
        <w:rPr>
          <w:rFonts w:ascii="Arial" w:hAnsi="Arial" w:cs="Arial"/>
        </w:rPr>
        <w:t xml:space="preserve"> citata pandemia, </w:t>
      </w:r>
      <w:r w:rsidR="002A7B94">
        <w:rPr>
          <w:rFonts w:ascii="Arial" w:hAnsi="Arial" w:cs="Arial"/>
        </w:rPr>
        <w:t xml:space="preserve"> per quasi tutto il 2021 hanno avuto </w:t>
      </w:r>
      <w:r w:rsidR="00755877">
        <w:rPr>
          <w:rFonts w:ascii="Arial" w:hAnsi="Arial" w:cs="Arial"/>
        </w:rPr>
        <w:t>un calo di ospiti, anche se nell’ultimo trimestre si è registrata una ripresa del numero di ospiti.</w:t>
      </w:r>
    </w:p>
    <w:p w14:paraId="33AFBBED" w14:textId="1CC3ACBD" w:rsidR="00F36235" w:rsidRDefault="00F36235"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CB0B5A">
        <w:rPr>
          <w:rFonts w:ascii="Arial" w:hAnsi="Arial" w:cs="Arial"/>
        </w:rPr>
        <w:t>Si è proceduto alla messa in cassa integrazione del personale non impiegato e alla diminuzione dei costi fissi, ma ciò non è stato sufficiente ad arginare la perdita.</w:t>
      </w:r>
    </w:p>
    <w:p w14:paraId="00142356" w14:textId="62208475" w:rsidR="00940AAB" w:rsidRDefault="003B37CE" w:rsidP="00940AAB">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Grazie al piano di crisi approvato e adottato nel terzo e ultimo trimestre, ai nuovi appalti</w:t>
      </w:r>
      <w:r w:rsidR="00D515E6">
        <w:rPr>
          <w:rFonts w:ascii="Arial" w:hAnsi="Arial" w:cs="Arial"/>
        </w:rPr>
        <w:t xml:space="preserve">, all’incremento degli utenti dei servizi </w:t>
      </w:r>
      <w:r>
        <w:rPr>
          <w:rFonts w:ascii="Arial" w:hAnsi="Arial" w:cs="Arial"/>
        </w:rPr>
        <w:t xml:space="preserve"> e alla revisione </w:t>
      </w:r>
      <w:r w:rsidR="00D515E6">
        <w:rPr>
          <w:rFonts w:ascii="Arial" w:hAnsi="Arial" w:cs="Arial"/>
        </w:rPr>
        <w:t>delle forniture,</w:t>
      </w:r>
      <w:r>
        <w:rPr>
          <w:rFonts w:ascii="Arial" w:hAnsi="Arial" w:cs="Arial"/>
        </w:rPr>
        <w:t xml:space="preserve"> la perdita di esercizio si è ridotta della metà rispetto a quella</w:t>
      </w:r>
      <w:r w:rsidR="00D515E6">
        <w:rPr>
          <w:rFonts w:ascii="Arial" w:hAnsi="Arial" w:cs="Arial"/>
        </w:rPr>
        <w:t xml:space="preserve"> generata nell’anno precedente e nel primo semestre</w:t>
      </w:r>
      <w:r w:rsidR="001B55DB">
        <w:rPr>
          <w:rFonts w:ascii="Arial" w:hAnsi="Arial" w:cs="Arial"/>
        </w:rPr>
        <w:t>, ottenendo quasi un pareggio di bilancio</w:t>
      </w:r>
      <w:r w:rsidR="00940AAB">
        <w:rPr>
          <w:rFonts w:ascii="Arial" w:hAnsi="Arial" w:cs="Arial"/>
        </w:rPr>
        <w:t>;</w:t>
      </w:r>
      <w:r w:rsidR="001B55DB">
        <w:rPr>
          <w:rFonts w:ascii="Arial" w:hAnsi="Arial" w:cs="Arial"/>
        </w:rPr>
        <w:t xml:space="preserve"> la perdita è imputabile esclusivamente al primo semestre poiché non si sono potut</w:t>
      </w:r>
      <w:r w:rsidR="00940AAB">
        <w:rPr>
          <w:rFonts w:ascii="Arial" w:hAnsi="Arial" w:cs="Arial"/>
        </w:rPr>
        <w:t>i</w:t>
      </w:r>
      <w:r w:rsidR="001B55DB">
        <w:rPr>
          <w:rFonts w:ascii="Arial" w:hAnsi="Arial" w:cs="Arial"/>
        </w:rPr>
        <w:t xml:space="preserve"> attuare i piani di ristrutturazione dei costi</w:t>
      </w:r>
      <w:r w:rsidR="00940AAB">
        <w:rPr>
          <w:rFonts w:ascii="Arial" w:hAnsi="Arial" w:cs="Arial"/>
        </w:rPr>
        <w:t>.</w:t>
      </w:r>
    </w:p>
    <w:p w14:paraId="429615E4" w14:textId="57C19BC9" w:rsidR="00940AAB" w:rsidRDefault="00940AAB" w:rsidP="00940AAB">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FA0C18">
        <w:rPr>
          <w:rFonts w:ascii="Arial" w:hAnsi="Arial" w:cs="Arial"/>
        </w:rPr>
        <w:t>Durante l’anno 2021, per contenere le perdite, si è proceduto alla riduzione degli stipendi</w:t>
      </w:r>
      <w:r>
        <w:rPr>
          <w:rFonts w:ascii="Arial" w:hAnsi="Arial" w:cs="Arial"/>
        </w:rPr>
        <w:t xml:space="preserve">, </w:t>
      </w:r>
      <w:r w:rsidRPr="00FA0C18">
        <w:rPr>
          <w:rFonts w:ascii="Arial" w:hAnsi="Arial" w:cs="Arial"/>
        </w:rPr>
        <w:t>eliminando i super minimi</w:t>
      </w:r>
      <w:r>
        <w:rPr>
          <w:rFonts w:ascii="Arial" w:hAnsi="Arial" w:cs="Arial"/>
        </w:rPr>
        <w:t>, e i soci hanno rinunciato alle tredicesime</w:t>
      </w:r>
    </w:p>
    <w:p w14:paraId="39824769" w14:textId="6815475F" w:rsidR="00EC3391" w:rsidRPr="00FA0C18" w:rsidRDefault="00EC3391" w:rsidP="00940AAB">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Pr>
          <w:rFonts w:ascii="Arial" w:hAnsi="Arial" w:cs="Arial"/>
        </w:rPr>
        <w:t xml:space="preserve">Inoltre si sottolinea che nel secondo semestre del 2021 la Prefettura ha ritenuto di adeguare l’importo del servizio di accoglienza al futuro bando pubblicato in quanto ha reputato troppo basso il </w:t>
      </w:r>
      <w:r>
        <w:rPr>
          <w:rFonts w:ascii="Arial" w:hAnsi="Arial" w:cs="Arial"/>
        </w:rPr>
        <w:lastRenderedPageBreak/>
        <w:t>precedente.</w:t>
      </w:r>
    </w:p>
    <w:p w14:paraId="19C69CF6" w14:textId="12D29530" w:rsidR="003B37CE" w:rsidRPr="00CB0B5A" w:rsidRDefault="003B37CE"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p>
    <w:bookmarkEnd w:id="0"/>
    <w:p w14:paraId="4A2FCE03" w14:textId="3343B387" w:rsidR="00D13C00" w:rsidRDefault="00D13C00"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D515E6">
        <w:rPr>
          <w:rFonts w:ascii="Arial" w:hAnsi="Arial" w:cs="Arial"/>
          <w:b/>
          <w:bCs/>
        </w:rPr>
        <w:t>Fatti di rilievo dopo la chiusura di esercizio</w:t>
      </w:r>
      <w:r w:rsidRPr="00D515E6">
        <w:rPr>
          <w:rFonts w:ascii="Arial" w:hAnsi="Arial" w:cs="Arial"/>
        </w:rPr>
        <w:t>.</w:t>
      </w:r>
    </w:p>
    <w:p w14:paraId="4BA509ED" w14:textId="0C02827A" w:rsidR="00EC3391" w:rsidRPr="00E51C53" w:rsidRDefault="00EC3391"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Per quanto riguarda la line Xenia è stato aggiudicato dalla Prefettura di Lecco il bando per 92 utenti</w:t>
      </w:r>
      <w:r w:rsidR="00540D40" w:rsidRPr="00E51C53">
        <w:rPr>
          <w:rFonts w:ascii="Arial" w:hAnsi="Arial" w:cs="Arial"/>
        </w:rPr>
        <w:t xml:space="preserve">, </w:t>
      </w:r>
      <w:r w:rsidRPr="00E51C53">
        <w:rPr>
          <w:rFonts w:ascii="Arial" w:hAnsi="Arial" w:cs="Arial"/>
        </w:rPr>
        <w:t>con una remunerazione più alta</w:t>
      </w:r>
      <w:r w:rsidR="00A16529" w:rsidRPr="00E51C53">
        <w:rPr>
          <w:rFonts w:ascii="Arial" w:hAnsi="Arial" w:cs="Arial"/>
        </w:rPr>
        <w:t xml:space="preserve"> rispetto al precedente</w:t>
      </w:r>
      <w:r w:rsidRPr="00E51C53">
        <w:rPr>
          <w:rFonts w:ascii="Arial" w:hAnsi="Arial" w:cs="Arial"/>
        </w:rPr>
        <w:t>. Si sono mantenuti</w:t>
      </w:r>
      <w:r w:rsidR="00A16529" w:rsidRPr="00E51C53">
        <w:rPr>
          <w:rFonts w:ascii="Arial" w:hAnsi="Arial" w:cs="Arial"/>
        </w:rPr>
        <w:t xml:space="preserve"> alcuni de</w:t>
      </w:r>
      <w:r w:rsidRPr="00E51C53">
        <w:rPr>
          <w:rFonts w:ascii="Arial" w:hAnsi="Arial" w:cs="Arial"/>
        </w:rPr>
        <w:t>gli appartamenti in essere</w:t>
      </w:r>
      <w:r w:rsidR="00540D40" w:rsidRPr="00E51C53">
        <w:rPr>
          <w:rFonts w:ascii="Arial" w:hAnsi="Arial" w:cs="Arial"/>
        </w:rPr>
        <w:t>,</w:t>
      </w:r>
      <w:r w:rsidRPr="00E51C53">
        <w:rPr>
          <w:rFonts w:ascii="Arial" w:hAnsi="Arial" w:cs="Arial"/>
        </w:rPr>
        <w:t xml:space="preserve"> in quanto l’offerta </w:t>
      </w:r>
      <w:r w:rsidR="00540D40" w:rsidRPr="00E51C53">
        <w:rPr>
          <w:rFonts w:ascii="Arial" w:hAnsi="Arial" w:cs="Arial"/>
        </w:rPr>
        <w:t xml:space="preserve">di posti </w:t>
      </w:r>
      <w:r w:rsidRPr="00E51C53">
        <w:rPr>
          <w:rFonts w:ascii="Arial" w:hAnsi="Arial" w:cs="Arial"/>
        </w:rPr>
        <w:t>è stata inferiore alla domanda; gli stessi sono stati inseriti come estensione delle strutture</w:t>
      </w:r>
      <w:r w:rsidR="00540D40" w:rsidRPr="00E51C53">
        <w:rPr>
          <w:rFonts w:ascii="Arial" w:hAnsi="Arial" w:cs="Arial"/>
        </w:rPr>
        <w:t>,</w:t>
      </w:r>
      <w:r w:rsidRPr="00E51C53">
        <w:rPr>
          <w:rFonts w:ascii="Arial" w:hAnsi="Arial" w:cs="Arial"/>
        </w:rPr>
        <w:t xml:space="preserve"> pertanto vengono remunerati </w:t>
      </w:r>
      <w:r w:rsidR="00A16529" w:rsidRPr="00E51C53">
        <w:rPr>
          <w:rFonts w:ascii="Arial" w:hAnsi="Arial" w:cs="Arial"/>
        </w:rPr>
        <w:t>allo stesso prezzo</w:t>
      </w:r>
      <w:r w:rsidR="00540D40" w:rsidRPr="00E51C53">
        <w:rPr>
          <w:rFonts w:ascii="Arial" w:hAnsi="Arial" w:cs="Arial"/>
        </w:rPr>
        <w:t>,</w:t>
      </w:r>
      <w:r w:rsidR="00A16529" w:rsidRPr="00E51C53">
        <w:rPr>
          <w:rFonts w:ascii="Arial" w:hAnsi="Arial" w:cs="Arial"/>
        </w:rPr>
        <w:t xml:space="preserve"> a differenza del bando precedente dove vi era un prezzo inferiore</w:t>
      </w:r>
      <w:r w:rsidR="00540D40" w:rsidRPr="00E51C53">
        <w:rPr>
          <w:rFonts w:ascii="Arial" w:hAnsi="Arial" w:cs="Arial"/>
        </w:rPr>
        <w:t>.</w:t>
      </w:r>
    </w:p>
    <w:p w14:paraId="57544468" w14:textId="6987D9D1" w:rsidR="00B917FC" w:rsidRPr="00E51C53" w:rsidRDefault="00B917FC"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Su richiesta della Prefettura nel secondo semestre vi è stato un ampliamento numerico fino al 50% dato l’aumento delle assegnazioni da sbarco e dati gli eventi belligeranti che hanno caratterizzato il 2022.</w:t>
      </w:r>
    </w:p>
    <w:p w14:paraId="2F9FA00E" w14:textId="6E60BB14" w:rsidR="00A16529" w:rsidRPr="00E51C53" w:rsidRDefault="00F0219A"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 xml:space="preserve">Monitorando i budget già nel 2021 si è </w:t>
      </w:r>
      <w:r w:rsidR="00A16529" w:rsidRPr="00E51C53">
        <w:rPr>
          <w:rFonts w:ascii="Arial" w:hAnsi="Arial" w:cs="Arial"/>
        </w:rPr>
        <w:t>evidenziato</w:t>
      </w:r>
      <w:r w:rsidRPr="00E51C53">
        <w:rPr>
          <w:rFonts w:ascii="Arial" w:hAnsi="Arial" w:cs="Arial"/>
        </w:rPr>
        <w:t xml:space="preserve"> che il nido di Offanengo non era remunerativo</w:t>
      </w:r>
      <w:r w:rsidR="00540D40" w:rsidRPr="00E51C53">
        <w:rPr>
          <w:rFonts w:ascii="Arial" w:hAnsi="Arial" w:cs="Arial"/>
        </w:rPr>
        <w:t>,</w:t>
      </w:r>
      <w:r w:rsidRPr="00E51C53">
        <w:rPr>
          <w:rFonts w:ascii="Arial" w:hAnsi="Arial" w:cs="Arial"/>
        </w:rPr>
        <w:t xml:space="preserve"> in quanto sottocosto</w:t>
      </w:r>
      <w:r w:rsidR="00540D40" w:rsidRPr="00E51C53">
        <w:rPr>
          <w:rFonts w:ascii="Arial" w:hAnsi="Arial" w:cs="Arial"/>
        </w:rPr>
        <w:t>,</w:t>
      </w:r>
      <w:r w:rsidR="00A16529" w:rsidRPr="00E51C53">
        <w:rPr>
          <w:rFonts w:ascii="Arial" w:hAnsi="Arial" w:cs="Arial"/>
        </w:rPr>
        <w:t xml:space="preserve"> dovuto alle modalità di iscrizione degli utenti e dalla non collaborazione da parte dell’ente appaltante. Inoltre</w:t>
      </w:r>
      <w:r w:rsidR="00540D40" w:rsidRPr="00E51C53">
        <w:rPr>
          <w:rFonts w:ascii="Arial" w:hAnsi="Arial" w:cs="Arial"/>
        </w:rPr>
        <w:t>,</w:t>
      </w:r>
      <w:r w:rsidR="00A16529" w:rsidRPr="00E51C53">
        <w:rPr>
          <w:rFonts w:ascii="Arial" w:hAnsi="Arial" w:cs="Arial"/>
        </w:rPr>
        <w:t xml:space="preserve"> il prezzo dei pasti elargiti agli utenti era appaltato ad altro fornitore</w:t>
      </w:r>
      <w:r w:rsidR="00540D40" w:rsidRPr="00E51C53">
        <w:rPr>
          <w:rFonts w:ascii="Arial" w:hAnsi="Arial" w:cs="Arial"/>
        </w:rPr>
        <w:t>,</w:t>
      </w:r>
      <w:r w:rsidR="00A16529" w:rsidRPr="00E51C53">
        <w:rPr>
          <w:rFonts w:ascii="Arial" w:hAnsi="Arial" w:cs="Arial"/>
        </w:rPr>
        <w:t xml:space="preserve"> il quale ha imputato un prezzo superiore a quanto noi percepivamo dagli utenti.</w:t>
      </w:r>
    </w:p>
    <w:p w14:paraId="3D18C9AA" w14:textId="603850B5" w:rsidR="00F0219A" w:rsidRPr="00E51C53" w:rsidRDefault="00A16529"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Di comune accordo con l’</w:t>
      </w:r>
      <w:r w:rsidR="00540D40" w:rsidRPr="00E51C53">
        <w:rPr>
          <w:rFonts w:ascii="Arial" w:hAnsi="Arial" w:cs="Arial"/>
        </w:rPr>
        <w:t>amministrazione,</w:t>
      </w:r>
      <w:r w:rsidRPr="00E51C53">
        <w:rPr>
          <w:rFonts w:ascii="Arial" w:hAnsi="Arial" w:cs="Arial"/>
        </w:rPr>
        <w:t xml:space="preserve"> dopo avere evidenziato che applicando le ns modalità </w:t>
      </w:r>
      <w:r w:rsidR="00D2776E" w:rsidRPr="00E51C53">
        <w:rPr>
          <w:rFonts w:ascii="Arial" w:hAnsi="Arial" w:cs="Arial"/>
        </w:rPr>
        <w:t xml:space="preserve">operative </w:t>
      </w:r>
      <w:r w:rsidRPr="00E51C53">
        <w:rPr>
          <w:rFonts w:ascii="Arial" w:hAnsi="Arial" w:cs="Arial"/>
        </w:rPr>
        <w:t>l’appalto cagionava a noi la perdita</w:t>
      </w:r>
      <w:r w:rsidR="00D2776E" w:rsidRPr="00E51C53">
        <w:rPr>
          <w:rFonts w:ascii="Arial" w:hAnsi="Arial" w:cs="Arial"/>
        </w:rPr>
        <w:t>,</w:t>
      </w:r>
      <w:r w:rsidRPr="00E51C53">
        <w:rPr>
          <w:rFonts w:ascii="Arial" w:hAnsi="Arial" w:cs="Arial"/>
        </w:rPr>
        <w:t xml:space="preserve"> s</w:t>
      </w:r>
      <w:r w:rsidR="00F0219A" w:rsidRPr="00E51C53">
        <w:rPr>
          <w:rFonts w:ascii="Arial" w:hAnsi="Arial" w:cs="Arial"/>
        </w:rPr>
        <w:t xml:space="preserve">i è addivenuti ad un accordo </w:t>
      </w:r>
      <w:r w:rsidR="00D2776E" w:rsidRPr="00E51C53">
        <w:rPr>
          <w:rFonts w:ascii="Arial" w:hAnsi="Arial" w:cs="Arial"/>
        </w:rPr>
        <w:t xml:space="preserve">consensuale </w:t>
      </w:r>
      <w:r w:rsidR="00F0219A" w:rsidRPr="00E51C53">
        <w:rPr>
          <w:rFonts w:ascii="Arial" w:hAnsi="Arial" w:cs="Arial"/>
        </w:rPr>
        <w:t xml:space="preserve">con </w:t>
      </w:r>
      <w:r w:rsidR="00D2776E" w:rsidRPr="00E51C53">
        <w:rPr>
          <w:rFonts w:ascii="Arial" w:hAnsi="Arial" w:cs="Arial"/>
        </w:rPr>
        <w:t>l’ente appaltante,</w:t>
      </w:r>
      <w:r w:rsidR="00F0219A" w:rsidRPr="00E51C53">
        <w:rPr>
          <w:rFonts w:ascii="Arial" w:hAnsi="Arial" w:cs="Arial"/>
        </w:rPr>
        <w:t xml:space="preserve"> che a fine anno scolastico il contratto </w:t>
      </w:r>
      <w:r w:rsidR="00540D40" w:rsidRPr="00E51C53">
        <w:rPr>
          <w:rFonts w:ascii="Arial" w:hAnsi="Arial" w:cs="Arial"/>
        </w:rPr>
        <w:t>sarebbe passato alla seconda aggiudicataria.</w:t>
      </w:r>
      <w:r w:rsidR="00F0219A" w:rsidRPr="00E51C53">
        <w:rPr>
          <w:rFonts w:ascii="Arial" w:hAnsi="Arial" w:cs="Arial"/>
        </w:rPr>
        <w:t xml:space="preserve"> </w:t>
      </w:r>
    </w:p>
    <w:p w14:paraId="0F5BBE43" w14:textId="17473140" w:rsidR="00EC3391" w:rsidRPr="00E51C53" w:rsidRDefault="00D2776E"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 xml:space="preserve">Per quanto riguarda gli altri servizi socio educativi si è </w:t>
      </w:r>
      <w:r w:rsidR="00586E47" w:rsidRPr="00E51C53">
        <w:rPr>
          <w:rFonts w:ascii="Arial" w:hAnsi="Arial" w:cs="Arial"/>
        </w:rPr>
        <w:t>pressoché</w:t>
      </w:r>
      <w:r w:rsidRPr="00E51C53">
        <w:rPr>
          <w:rFonts w:ascii="Arial" w:hAnsi="Arial" w:cs="Arial"/>
        </w:rPr>
        <w:t xml:space="preserve"> raggiunta la massima capienza e vi sono le liste di attesa. Per quanto riguarda il comune di Bagnolo provvederà ad integrare quanto percepito dalle rette con propri finanziamenti.</w:t>
      </w:r>
    </w:p>
    <w:p w14:paraId="3CD4D4E2" w14:textId="1BBC0E67" w:rsidR="00D2776E" w:rsidRPr="00E51C53" w:rsidRDefault="00D2776E"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I servizi socio sanitari inerenti il CDI ha</w:t>
      </w:r>
      <w:r w:rsidR="00B917FC" w:rsidRPr="00E51C53">
        <w:rPr>
          <w:rFonts w:ascii="Arial" w:hAnsi="Arial" w:cs="Arial"/>
        </w:rPr>
        <w:t xml:space="preserve">nno </w:t>
      </w:r>
      <w:r w:rsidRPr="00E51C53">
        <w:rPr>
          <w:rFonts w:ascii="Arial" w:hAnsi="Arial" w:cs="Arial"/>
        </w:rPr>
        <w:t xml:space="preserve">avuto nel primo semestre </w:t>
      </w:r>
      <w:r w:rsidR="00B917FC" w:rsidRPr="00E51C53">
        <w:rPr>
          <w:rFonts w:ascii="Arial" w:hAnsi="Arial" w:cs="Arial"/>
        </w:rPr>
        <w:t>un incremento di iscrizioni tanto da aver quasi raggiunto la capienza. È previsto per il mese di settembre una lista di attesa.</w:t>
      </w:r>
    </w:p>
    <w:p w14:paraId="18815957" w14:textId="0FF5E1E2" w:rsidR="00B917FC" w:rsidRDefault="00B917FC"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E51C53">
        <w:rPr>
          <w:rFonts w:ascii="Arial" w:hAnsi="Arial" w:cs="Arial"/>
        </w:rPr>
        <w:t xml:space="preserve">Analizzando pertanto il primo semestre vi è stato un risultato </w:t>
      </w:r>
      <w:r w:rsidR="00506ECA" w:rsidRPr="00E51C53">
        <w:rPr>
          <w:rFonts w:ascii="Arial" w:hAnsi="Arial" w:cs="Arial"/>
        </w:rPr>
        <w:t xml:space="preserve">leggermente </w:t>
      </w:r>
      <w:r w:rsidRPr="00E51C53">
        <w:rPr>
          <w:rFonts w:ascii="Arial" w:hAnsi="Arial" w:cs="Arial"/>
        </w:rPr>
        <w:t xml:space="preserve">positivo che dato l’andamento </w:t>
      </w:r>
      <w:r w:rsidR="00506ECA" w:rsidRPr="00E51C53">
        <w:rPr>
          <w:rFonts w:ascii="Arial" w:hAnsi="Arial" w:cs="Arial"/>
        </w:rPr>
        <w:t>è prevedibile dal budget la conferma della positività nel secondo semestre, nonché per tutto il 2023</w:t>
      </w:r>
      <w:r w:rsidR="00586E47">
        <w:rPr>
          <w:rFonts w:ascii="Arial" w:hAnsi="Arial" w:cs="Arial"/>
        </w:rPr>
        <w:t>.</w:t>
      </w:r>
    </w:p>
    <w:p w14:paraId="66E75911" w14:textId="1C3E6C15" w:rsidR="00586E47" w:rsidRDefault="00586E47" w:rsidP="00A431BE">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r w:rsidRPr="00A431BE">
        <w:rPr>
          <w:rFonts w:ascii="Arial" w:hAnsi="Arial" w:cs="Arial"/>
        </w:rPr>
        <w:t xml:space="preserve">A seguito della vicenda della L.L.L. nonostante era stato concordato </w:t>
      </w:r>
      <w:r w:rsidR="00A431BE" w:rsidRPr="00A431BE">
        <w:rPr>
          <w:rFonts w:ascii="Arial" w:hAnsi="Arial" w:cs="Arial"/>
        </w:rPr>
        <w:t xml:space="preserve">un piano di rientro inerente alla sentenza del settembre 2021 la controparte ha proceduto al pignoramento di n. 2 conti corrente e il credito della Prefettura di Lecco, immobilizzando la liquidità corrente. Si è fatto fronte alla situazione di crisi utilizzando il conto corrente della BPM non pignorato e utilizzando tutti i proventi provenienti dai servizi socio-educativi e socio-sanitari. Nel mese di luglio la Prefettura di Lecco ha </w:t>
      </w:r>
      <w:r w:rsidR="00A63186">
        <w:rPr>
          <w:rFonts w:ascii="Arial" w:hAnsi="Arial" w:cs="Arial"/>
        </w:rPr>
        <w:t>liberato parte del credito nei nostri confronti trattenendo una maggior cifra a garanzia di quanto sentenziato.</w:t>
      </w:r>
    </w:p>
    <w:p w14:paraId="21C533E7" w14:textId="77777777" w:rsidR="00A63186" w:rsidRPr="00A431BE" w:rsidRDefault="00A63186" w:rsidP="00A431BE">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p>
    <w:p w14:paraId="2E5C63ED" w14:textId="4DD9DB4B" w:rsidR="00586E47" w:rsidRPr="00E51C53" w:rsidRDefault="00586E47" w:rsidP="00D13C00">
      <w:pPr>
        <w:widowControl w:val="0"/>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rPr>
      </w:pPr>
    </w:p>
    <w:sectPr w:rsidR="00586E47" w:rsidRPr="00E51C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CA64F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50763F1"/>
    <w:multiLevelType w:val="hybridMultilevel"/>
    <w:tmpl w:val="12BAA8D2"/>
    <w:lvl w:ilvl="0" w:tplc="5A7EF5EC">
      <w:start w:val="1"/>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EF6645"/>
    <w:multiLevelType w:val="hybridMultilevel"/>
    <w:tmpl w:val="70CCE4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395BA0"/>
    <w:multiLevelType w:val="hybridMultilevel"/>
    <w:tmpl w:val="AD7E3114"/>
    <w:lvl w:ilvl="0" w:tplc="1CF41238">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92520C"/>
    <w:multiLevelType w:val="hybridMultilevel"/>
    <w:tmpl w:val="D0F865E0"/>
    <w:lvl w:ilvl="0" w:tplc="5A7EF5EC">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5447291">
    <w:abstractNumId w:val="3"/>
  </w:num>
  <w:num w:numId="2" w16cid:durableId="43411556">
    <w:abstractNumId w:val="2"/>
  </w:num>
  <w:num w:numId="3" w16cid:durableId="779882589">
    <w:abstractNumId w:val="1"/>
  </w:num>
  <w:num w:numId="4" w16cid:durableId="11227257">
    <w:abstractNumId w:val="4"/>
  </w:num>
  <w:num w:numId="5" w16cid:durableId="200050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4B"/>
    <w:rsid w:val="00055555"/>
    <w:rsid w:val="00065B6D"/>
    <w:rsid w:val="00180C02"/>
    <w:rsid w:val="001B55DB"/>
    <w:rsid w:val="001D2172"/>
    <w:rsid w:val="00202B49"/>
    <w:rsid w:val="00206B44"/>
    <w:rsid w:val="00223C04"/>
    <w:rsid w:val="002A7B94"/>
    <w:rsid w:val="002C5523"/>
    <w:rsid w:val="003209F6"/>
    <w:rsid w:val="0034557C"/>
    <w:rsid w:val="00397D87"/>
    <w:rsid w:val="003A05E6"/>
    <w:rsid w:val="003A411A"/>
    <w:rsid w:val="003B37CE"/>
    <w:rsid w:val="00412467"/>
    <w:rsid w:val="0044400B"/>
    <w:rsid w:val="00450B0B"/>
    <w:rsid w:val="0049378E"/>
    <w:rsid w:val="00506ECA"/>
    <w:rsid w:val="00540D40"/>
    <w:rsid w:val="00586E47"/>
    <w:rsid w:val="00587B4B"/>
    <w:rsid w:val="0059101C"/>
    <w:rsid w:val="005A4813"/>
    <w:rsid w:val="005B7FED"/>
    <w:rsid w:val="005E250B"/>
    <w:rsid w:val="006A683F"/>
    <w:rsid w:val="006C3452"/>
    <w:rsid w:val="00744392"/>
    <w:rsid w:val="00755877"/>
    <w:rsid w:val="007B4A99"/>
    <w:rsid w:val="0085762C"/>
    <w:rsid w:val="008F1AC4"/>
    <w:rsid w:val="0090306A"/>
    <w:rsid w:val="0090731E"/>
    <w:rsid w:val="009146F3"/>
    <w:rsid w:val="00940AAB"/>
    <w:rsid w:val="00A16529"/>
    <w:rsid w:val="00A31A07"/>
    <w:rsid w:val="00A431BE"/>
    <w:rsid w:val="00A63186"/>
    <w:rsid w:val="00AA68AE"/>
    <w:rsid w:val="00AE6AC2"/>
    <w:rsid w:val="00B34D64"/>
    <w:rsid w:val="00B917FC"/>
    <w:rsid w:val="00BA136A"/>
    <w:rsid w:val="00BB2987"/>
    <w:rsid w:val="00BB61E0"/>
    <w:rsid w:val="00C37721"/>
    <w:rsid w:val="00C614C4"/>
    <w:rsid w:val="00CB0B5A"/>
    <w:rsid w:val="00D13C00"/>
    <w:rsid w:val="00D2776E"/>
    <w:rsid w:val="00D360F8"/>
    <w:rsid w:val="00D515E6"/>
    <w:rsid w:val="00D537F6"/>
    <w:rsid w:val="00D756B0"/>
    <w:rsid w:val="00DB2DF1"/>
    <w:rsid w:val="00E00F4E"/>
    <w:rsid w:val="00E51C53"/>
    <w:rsid w:val="00E56194"/>
    <w:rsid w:val="00EA628E"/>
    <w:rsid w:val="00EC3391"/>
    <w:rsid w:val="00F0219A"/>
    <w:rsid w:val="00F10078"/>
    <w:rsid w:val="00F23568"/>
    <w:rsid w:val="00F36235"/>
    <w:rsid w:val="00F40D0C"/>
    <w:rsid w:val="00F420AE"/>
    <w:rsid w:val="00F824BF"/>
    <w:rsid w:val="00FA0C18"/>
    <w:rsid w:val="00FB5595"/>
    <w:rsid w:val="00FD7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9EBA"/>
  <w15:chartTrackingRefBased/>
  <w15:docId w15:val="{F4B4945E-072F-4E0F-B997-60CCAF5F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B4B"/>
    <w:pPr>
      <w:autoSpaceDE w:val="0"/>
      <w:autoSpaceDN w:val="0"/>
      <w:adjustRightInd w:val="0"/>
      <w:spacing w:after="200" w:line="276" w:lineRule="auto"/>
    </w:pPr>
    <w:rPr>
      <w:rFonts w:ascii="Calibri" w:eastAsiaTheme="minorEastAsia" w:hAnsi="Calibri" w:cs="Calibri"/>
      <w:lang w:eastAsia="it-IT"/>
    </w:rPr>
  </w:style>
  <w:style w:type="paragraph" w:styleId="Titolo2">
    <w:name w:val="heading 2"/>
    <w:basedOn w:val="Normale"/>
    <w:next w:val="Normale"/>
    <w:link w:val="Titolo2Carattere"/>
    <w:qFormat/>
    <w:rsid w:val="00202B49"/>
    <w:pPr>
      <w:autoSpaceDE/>
      <w:autoSpaceDN/>
      <w:adjustRightInd/>
      <w:spacing w:after="0" w:line="360" w:lineRule="auto"/>
      <w:jc w:val="both"/>
      <w:outlineLvl w:val="1"/>
    </w:pPr>
    <w:rPr>
      <w:rFonts w:ascii="Arial" w:eastAsia="Times New Roman" w:hAnsi="Arial" w:cs="Times New Roman"/>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587B4B"/>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styleId="Testonormale">
    <w:name w:val="Plain Text"/>
    <w:basedOn w:val="Normale"/>
    <w:link w:val="TestonormaleCarattere"/>
    <w:uiPriority w:val="99"/>
    <w:rsid w:val="00587B4B"/>
    <w:pPr>
      <w:spacing w:after="0" w:line="240" w:lineRule="auto"/>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587B4B"/>
    <w:rPr>
      <w:rFonts w:ascii="Courier New" w:eastAsiaTheme="minorEastAsia" w:hAnsi="Courier New" w:cs="Courier New"/>
      <w:sz w:val="20"/>
      <w:szCs w:val="20"/>
      <w:lang w:eastAsia="it-IT"/>
    </w:rPr>
  </w:style>
  <w:style w:type="paragraph" w:styleId="Rientronormale">
    <w:name w:val="Normal Indent"/>
    <w:basedOn w:val="Normale"/>
    <w:rsid w:val="00587B4B"/>
    <w:pPr>
      <w:spacing w:after="0" w:line="360" w:lineRule="auto"/>
      <w:ind w:left="708"/>
      <w:jc w:val="both"/>
    </w:pPr>
    <w:rPr>
      <w:rFonts w:ascii="Arial" w:hAnsi="Arial" w:cs="Arial"/>
    </w:rPr>
  </w:style>
  <w:style w:type="character" w:customStyle="1" w:styleId="Titolo2Carattere">
    <w:name w:val="Titolo 2 Carattere"/>
    <w:basedOn w:val="Carpredefinitoparagrafo"/>
    <w:link w:val="Titolo2"/>
    <w:rsid w:val="00202B49"/>
    <w:rPr>
      <w:rFonts w:ascii="Arial" w:eastAsia="Times New Roman" w:hAnsi="Arial" w:cs="Times New Roman"/>
      <w:b/>
      <w:szCs w:val="20"/>
      <w:u w:val="single"/>
      <w:lang w:eastAsia="it-IT"/>
    </w:rPr>
  </w:style>
  <w:style w:type="paragraph" w:styleId="Puntoelenco">
    <w:name w:val="List Bullet"/>
    <w:basedOn w:val="Normale"/>
    <w:uiPriority w:val="99"/>
    <w:unhideWhenUsed/>
    <w:rsid w:val="00A431BE"/>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CED4-2BFF-488C-B528-18B009E7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2266</Words>
  <Characters>12920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01 IT ERBA</dc:creator>
  <cp:keywords/>
  <dc:description/>
  <cp:lastModifiedBy>Amministrazione - IntegraRE</cp:lastModifiedBy>
  <cp:revision>6</cp:revision>
  <dcterms:created xsi:type="dcterms:W3CDTF">2022-03-18T11:34:00Z</dcterms:created>
  <dcterms:modified xsi:type="dcterms:W3CDTF">2022-09-28T11:13:00Z</dcterms:modified>
</cp:coreProperties>
</file>